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432" w:right="0" w:hanging="432"/>
        <w:jc w:val="center"/>
        <w:rPr>
          <w:sz w:val="24"/>
          <w:szCs w:val="24"/>
        </w:rPr>
      </w:pPr>
      <w:bookmarkStart w:colFirst="0" w:colLast="0" w:name="_heading=h.jgabzj3gko4t" w:id="0"/>
      <w:bookmarkEnd w:id="0"/>
      <w:r w:rsidDel="00000000" w:rsidR="00000000" w:rsidRPr="00000000">
        <w:rPr>
          <w:sz w:val="24"/>
          <w:szCs w:val="24"/>
          <w:rtl w:val="0"/>
        </w:rPr>
        <w:t xml:space="preserve">COMUNE DI FORLIMPOPOLI</w:t>
      </w:r>
    </w:p>
    <w:p w:rsidR="00000000" w:rsidDel="00000000" w:rsidP="00000000" w:rsidRDefault="00000000" w:rsidRPr="00000000" w14:paraId="00000002">
      <w:pPr>
        <w:pStyle w:val="Title"/>
        <w:numPr>
          <w:ilvl w:val="0"/>
          <w:numId w:val="2"/>
        </w:numPr>
        <w:rPr>
          <w:b w:val="0"/>
          <w:i w:val="0"/>
          <w:sz w:val="20"/>
          <w:szCs w:val="20"/>
        </w:rPr>
      </w:pPr>
      <w:r w:rsidDel="00000000" w:rsidR="00000000" w:rsidRPr="00000000">
        <w:rPr>
          <w:b w:val="0"/>
          <w:i w:val="0"/>
          <w:sz w:val="20"/>
          <w:szCs w:val="20"/>
          <w:rtl w:val="0"/>
        </w:rPr>
        <w:t xml:space="preserve">Piazza Fratti n2 47034 Forlimpopoli</w:t>
      </w:r>
    </w:p>
    <w:p w:rsidR="00000000" w:rsidDel="00000000" w:rsidP="00000000" w:rsidRDefault="00000000" w:rsidRPr="00000000" w14:paraId="00000003">
      <w:pPr>
        <w:pStyle w:val="Title"/>
        <w:numPr>
          <w:ilvl w:val="0"/>
          <w:numId w:val="2"/>
        </w:numPr>
        <w:rPr>
          <w:b w:val="0"/>
          <w:i w:val="0"/>
          <w:sz w:val="20"/>
          <w:szCs w:val="20"/>
        </w:rPr>
      </w:pPr>
      <w:r w:rsidDel="00000000" w:rsidR="00000000" w:rsidRPr="00000000">
        <w:rPr>
          <w:b w:val="0"/>
          <w:i w:val="0"/>
          <w:sz w:val="20"/>
          <w:szCs w:val="20"/>
          <w:rtl w:val="0"/>
        </w:rPr>
        <w:t xml:space="preserve">C.F. 80005790409 - P. IVA 00616370409</w:t>
      </w:r>
    </w:p>
    <w:p w:rsidR="00000000" w:rsidDel="00000000" w:rsidP="00000000" w:rsidRDefault="00000000" w:rsidRPr="00000000" w14:paraId="00000004">
      <w:pPr>
        <w:pStyle w:val="Title"/>
        <w:numPr>
          <w:ilvl w:val="0"/>
          <w:numId w:val="2"/>
        </w:numPr>
        <w:rPr>
          <w:sz w:val="24"/>
          <w:szCs w:val="24"/>
        </w:rPr>
      </w:pPr>
      <w:bookmarkStart w:colFirst="0" w:colLast="0" w:name="_heading=h.wittr6iwig57" w:id="1"/>
      <w:bookmarkEnd w:id="1"/>
      <w:r w:rsidDel="00000000" w:rsidR="00000000" w:rsidRPr="00000000">
        <w:rPr>
          <w:sz w:val="24"/>
          <w:szCs w:val="24"/>
          <w:rtl w:val="0"/>
        </w:rPr>
        <w:tab/>
        <w:tab/>
        <w:t xml:space="preserve"> O.I.V. associato - Comuni di Forlimpopoli e Bertinoro</w:t>
      </w:r>
    </w:p>
    <w:p w:rsidR="00000000" w:rsidDel="00000000" w:rsidP="00000000" w:rsidRDefault="00000000" w:rsidRPr="00000000" w14:paraId="00000005">
      <w:pPr>
        <w:pStyle w:val="Title"/>
        <w:numPr>
          <w:ilvl w:val="0"/>
          <w:numId w:val="2"/>
        </w:numPr>
        <w:ind w:left="432" w:hanging="432"/>
        <w:rPr>
          <w:rFonts w:ascii="Titillium" w:cs="Titillium" w:eastAsia="Titillium" w:hAnsi="Titillium"/>
          <w:sz w:val="20"/>
          <w:szCs w:val="20"/>
        </w:rPr>
      </w:pPr>
      <w:r w:rsidDel="00000000" w:rsidR="00000000" w:rsidRPr="00000000">
        <w:rPr>
          <w:rFonts w:ascii="Titillium" w:cs="Titillium" w:eastAsia="Titillium" w:hAnsi="Titillium"/>
          <w:sz w:val="20"/>
          <w:szCs w:val="20"/>
          <w:u w:val="single"/>
          <w:rtl w:val="0"/>
        </w:rPr>
        <w:t xml:space="preserve">Scheda di sintesi sulla rilevazione degli OIV o organismi con funzioni analoghe</w:t>
      </w:r>
    </w:p>
    <w:p w:rsidR="00000000" w:rsidDel="00000000" w:rsidP="00000000" w:rsidRDefault="00000000" w:rsidRPr="00000000" w14:paraId="00000006">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tillium" w:cs="Titillium" w:eastAsia="Titillium" w:hAnsi="Titillium"/>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tillium" w:cs="Titillium" w:eastAsia="Titillium" w:hAnsi="Titillium"/>
          <w:b w:val="1"/>
          <w:i w:val="1"/>
          <w:smallCaps w:val="0"/>
          <w:strike w:val="0"/>
          <w:color w:val="000000"/>
          <w:sz w:val="20"/>
          <w:szCs w:val="20"/>
          <w:highlight w:val="yellow"/>
          <w:u w:val="none"/>
          <w:vertAlign w:val="baseline"/>
        </w:rPr>
      </w:pPr>
      <w:r w:rsidDel="00000000" w:rsidR="00000000" w:rsidRPr="00000000">
        <w:rPr>
          <w:rFonts w:ascii="Titillium" w:cs="Titillium" w:eastAsia="Titillium" w:hAnsi="Titillium"/>
          <w:b w:val="1"/>
          <w:i w:val="1"/>
          <w:smallCaps w:val="0"/>
          <w:strike w:val="0"/>
          <w:color w:val="000000"/>
          <w:sz w:val="20"/>
          <w:szCs w:val="20"/>
          <w:u w:val="none"/>
          <w:shd w:fill="auto" w:val="clear"/>
          <w:vertAlign w:val="baseline"/>
          <w:rtl w:val="0"/>
        </w:rPr>
        <w:t xml:space="preserve">Data di svolgimento della rilevazione: </w:t>
      </w:r>
      <w:r w:rsidDel="00000000" w:rsidR="00000000" w:rsidRPr="00000000">
        <w:rPr>
          <w:rFonts w:ascii="Titillium" w:cs="Titillium" w:eastAsia="Titillium" w:hAnsi="Titillium"/>
          <w:b w:val="1"/>
          <w:i w:val="1"/>
          <w:sz w:val="20"/>
          <w:szCs w:val="20"/>
          <w:highlight w:val="yellow"/>
          <w:rtl w:val="0"/>
        </w:rPr>
        <w:t xml:space="preserve">30/05/2022</w:t>
      </w:r>
      <w:r w:rsidDel="00000000" w:rsidR="00000000" w:rsidRPr="00000000">
        <w:rPr>
          <w:rtl w:val="0"/>
        </w:rPr>
      </w:r>
    </w:p>
    <w:p w:rsidR="00000000" w:rsidDel="00000000" w:rsidP="00000000" w:rsidRDefault="00000000" w:rsidRPr="00000000" w14:paraId="0000000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tillium" w:cs="Titillium" w:eastAsia="Titillium" w:hAnsi="Titillium"/>
          <w:b w:val="0"/>
          <w:i w:val="1"/>
          <w:smallCaps w:val="0"/>
          <w:strike w:val="0"/>
          <w:color w:val="000000"/>
          <w:sz w:val="18"/>
          <w:szCs w:val="18"/>
          <w:u w:val="none"/>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Indicare la data di svolgimento della rilevazione nel formato gg/mm/aaaa.</w:t>
      </w:r>
    </w:p>
    <w:p w:rsidR="00000000" w:rsidDel="00000000" w:rsidP="00000000" w:rsidRDefault="00000000" w:rsidRPr="00000000" w14:paraId="00000009">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tillium" w:cs="Titillium" w:eastAsia="Titillium" w:hAnsi="Titillium"/>
          <w:b w:val="0"/>
          <w:i w:val="1"/>
          <w:smallCaps w:val="0"/>
          <w:strike w:val="0"/>
          <w:color w:val="000000"/>
          <w:sz w:val="18"/>
          <w:szCs w:val="18"/>
          <w:u w:val="single"/>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Indicare la </w:t>
      </w:r>
      <w:r w:rsidDel="00000000" w:rsidR="00000000" w:rsidRPr="00000000">
        <w:rPr>
          <w:rFonts w:ascii="Titillium" w:cs="Titillium" w:eastAsia="Titillium" w:hAnsi="Titillium"/>
          <w:b w:val="0"/>
          <w:i w:val="1"/>
          <w:smallCaps w:val="0"/>
          <w:strike w:val="0"/>
          <w:color w:val="000000"/>
          <w:sz w:val="18"/>
          <w:szCs w:val="18"/>
          <w:u w:val="single"/>
          <w:shd w:fill="auto" w:val="clear"/>
          <w:vertAlign w:val="baseline"/>
          <w:rtl w:val="0"/>
        </w:rPr>
        <w:t xml:space="preserve">data di inizio e di fine</w:t>
      </w: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 della rilevazione.</w:t>
      </w:r>
      <w:r w:rsidDel="00000000" w:rsidR="00000000" w:rsidRPr="00000000">
        <w:rPr>
          <w:rtl w:val="0"/>
        </w:rPr>
      </w:r>
    </w:p>
    <w:p w:rsidR="00000000" w:rsidDel="00000000" w:rsidP="00000000" w:rsidRDefault="00000000" w:rsidRPr="00000000" w14:paraId="0000000A">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tillium" w:cs="Titillium" w:eastAsia="Titillium" w:hAnsi="Titillium"/>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tillium" w:cs="Titillium" w:eastAsia="Titillium" w:hAnsi="Titillium"/>
          <w:b w:val="1"/>
          <w:i w:val="1"/>
          <w:smallCaps w:val="0"/>
          <w:strike w:val="0"/>
          <w:color w:val="000000"/>
          <w:sz w:val="20"/>
          <w:szCs w:val="20"/>
          <w:highlight w:val="yellow"/>
          <w:u w:val="none"/>
          <w:vertAlign w:val="baseline"/>
        </w:rPr>
      </w:pPr>
      <w:r w:rsidDel="00000000" w:rsidR="00000000" w:rsidRPr="00000000">
        <w:rPr>
          <w:rFonts w:ascii="Titillium" w:cs="Titillium" w:eastAsia="Titillium" w:hAnsi="Titillium"/>
          <w:b w:val="1"/>
          <w:i w:val="1"/>
          <w:smallCaps w:val="0"/>
          <w:strike w:val="0"/>
          <w:color w:val="000000"/>
          <w:sz w:val="20"/>
          <w:szCs w:val="20"/>
          <w:u w:val="none"/>
          <w:shd w:fill="auto" w:val="clear"/>
          <w:vertAlign w:val="baseline"/>
          <w:rtl w:val="0"/>
        </w:rPr>
        <w:t xml:space="preserve">Estensione della rilevazione (nel solo caso di amministrazioni/enti con uffici periferici): </w:t>
      </w:r>
      <w:r w:rsidDel="00000000" w:rsidR="00000000" w:rsidRPr="00000000">
        <w:rPr>
          <w:rFonts w:ascii="Titillium" w:cs="Titillium" w:eastAsia="Titillium" w:hAnsi="Titillium"/>
          <w:b w:val="1"/>
          <w:i w:val="1"/>
          <w:smallCaps w:val="0"/>
          <w:strike w:val="0"/>
          <w:color w:val="000000"/>
          <w:sz w:val="20"/>
          <w:szCs w:val="20"/>
          <w:highlight w:val="yellow"/>
          <w:u w:val="none"/>
          <w:vertAlign w:val="baseline"/>
          <w:rtl w:val="0"/>
        </w:rPr>
        <w:t xml:space="preserve">NON CI SONO UFFICI PERIFERICI</w:t>
      </w:r>
    </w:p>
    <w:p w:rsidR="00000000" w:rsidDel="00000000" w:rsidP="00000000" w:rsidRDefault="00000000" w:rsidRPr="00000000" w14:paraId="0000000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tillium" w:cs="Titillium" w:eastAsia="Titillium" w:hAnsi="Titillium"/>
          <w:b w:val="1"/>
          <w:i w:val="1"/>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tillium" w:cs="Titillium" w:eastAsia="Titillium" w:hAnsi="Titillium"/>
          <w:b w:val="0"/>
          <w:i w:val="1"/>
          <w:smallCaps w:val="0"/>
          <w:strike w:val="0"/>
          <w:color w:val="000000"/>
          <w:sz w:val="18"/>
          <w:szCs w:val="18"/>
          <w:u w:val="none"/>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Indicare il numero complessivo degli uffici periferici esistenti e, se diverse, le tipologie di uffici periferici.</w:t>
      </w:r>
    </w:p>
    <w:p w:rsidR="00000000" w:rsidDel="00000000" w:rsidP="00000000" w:rsidRDefault="00000000" w:rsidRPr="00000000" w14:paraId="0000000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tillium" w:cs="Titillium" w:eastAsia="Titillium" w:hAnsi="Titillium"/>
          <w:b w:val="0"/>
          <w:i w:val="1"/>
          <w:smallCaps w:val="0"/>
          <w:strike w:val="0"/>
          <w:color w:val="000000"/>
          <w:sz w:val="18"/>
          <w:szCs w:val="18"/>
          <w:u w:val="none"/>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Per la formazione del campione di uffici periferici su cui effettuare la rilevazione, indicare il criterio di selezione del campione.</w:t>
      </w:r>
    </w:p>
    <w:p w:rsidR="00000000" w:rsidDel="00000000" w:rsidP="00000000" w:rsidRDefault="00000000" w:rsidRPr="00000000" w14:paraId="0000000F">
      <w:pPr>
        <w:tabs>
          <w:tab w:val="left" w:pos="0"/>
        </w:tabs>
        <w:spacing w:after="0" w:line="360" w:lineRule="auto"/>
        <w:rPr>
          <w:rFonts w:ascii="Titillium" w:cs="Titillium" w:eastAsia="Titillium" w:hAnsi="Titillium"/>
          <w:i w:val="1"/>
          <w:sz w:val="18"/>
          <w:szCs w:val="18"/>
        </w:rPr>
      </w:pPr>
      <w:r w:rsidDel="00000000" w:rsidR="00000000" w:rsidRPr="00000000">
        <w:rPr>
          <w:rFonts w:ascii="Titillium" w:cs="Titillium" w:eastAsia="Titillium" w:hAnsi="Titillium"/>
          <w:i w:val="1"/>
          <w:sz w:val="18"/>
          <w:szCs w:val="18"/>
          <w:rtl w:val="0"/>
        </w:rPr>
        <w:t xml:space="preserve">Riportare l’elenco degli uffici periferici selezionati.</w:t>
      </w:r>
    </w:p>
    <w:p w:rsidR="00000000" w:rsidDel="00000000" w:rsidP="00000000" w:rsidRDefault="00000000" w:rsidRPr="00000000" w14:paraId="0000001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tillium" w:cs="Titillium" w:eastAsia="Titillium" w:hAnsi="Titillium"/>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tillium" w:cs="Titillium" w:eastAsia="Titillium" w:hAnsi="Titillium"/>
          <w:b w:val="1"/>
          <w:i w:val="1"/>
          <w:smallCaps w:val="0"/>
          <w:strike w:val="0"/>
          <w:color w:val="000000"/>
          <w:sz w:val="20"/>
          <w:szCs w:val="20"/>
          <w:u w:val="none"/>
          <w:shd w:fill="auto" w:val="clear"/>
          <w:vertAlign w:val="baseline"/>
        </w:rPr>
      </w:pPr>
      <w:r w:rsidDel="00000000" w:rsidR="00000000" w:rsidRPr="00000000">
        <w:rPr>
          <w:rFonts w:ascii="Titillium" w:cs="Titillium" w:eastAsia="Titillium" w:hAnsi="Titillium"/>
          <w:b w:val="1"/>
          <w:i w:val="1"/>
          <w:smallCaps w:val="0"/>
          <w:strike w:val="0"/>
          <w:color w:val="000000"/>
          <w:sz w:val="20"/>
          <w:szCs w:val="20"/>
          <w:u w:val="none"/>
          <w:shd w:fill="auto" w:val="clear"/>
          <w:vertAlign w:val="baseline"/>
          <w:rtl w:val="0"/>
        </w:rPr>
        <w:t xml:space="preserve">Procedure e modalità seguite per la rilevazione : </w:t>
      </w:r>
    </w:p>
    <w:p w:rsidR="00000000" w:rsidDel="00000000" w:rsidP="00000000" w:rsidRDefault="00000000" w:rsidRPr="00000000" w14:paraId="00000012">
      <w:pPr>
        <w:widowControl w:val="1"/>
        <w:numPr>
          <w:ilvl w:val="0"/>
          <w:numId w:val="1"/>
        </w:numPr>
        <w:tabs>
          <w:tab w:val="left" w:pos="0"/>
        </w:tabs>
        <w:spacing w:after="0" w:line="360" w:lineRule="auto"/>
        <w:ind w:left="720" w:hanging="360"/>
        <w:rPr>
          <w:rFonts w:ascii="Titillium" w:cs="Titillium" w:eastAsia="Titillium" w:hAnsi="Titillium"/>
          <w:b w:val="1"/>
          <w:i w:val="1"/>
          <w:sz w:val="20"/>
          <w:szCs w:val="20"/>
          <w:highlight w:val="yellow"/>
        </w:rPr>
      </w:pPr>
      <w:r w:rsidDel="00000000" w:rsidR="00000000" w:rsidRPr="00000000">
        <w:rPr>
          <w:rFonts w:ascii="Titillium" w:cs="Titillium" w:eastAsia="Titillium" w:hAnsi="Titillium"/>
          <w:b w:val="1"/>
          <w:sz w:val="20"/>
          <w:szCs w:val="20"/>
          <w:highlight w:val="yellow"/>
          <w:rtl w:val="0"/>
        </w:rPr>
        <w:t xml:space="preserve">verifica dell’attività svolta dal Responsabile della prevenzione della corruzione e della trasparenza per riscontrare l’adempimento degli obblighi di pubblicazione;</w:t>
      </w:r>
    </w:p>
    <w:p w:rsidR="00000000" w:rsidDel="00000000" w:rsidP="00000000" w:rsidRDefault="00000000" w:rsidRPr="00000000" w14:paraId="00000013">
      <w:pPr>
        <w:widowControl w:val="1"/>
        <w:numPr>
          <w:ilvl w:val="0"/>
          <w:numId w:val="1"/>
        </w:numPr>
        <w:tabs>
          <w:tab w:val="left" w:pos="0"/>
        </w:tabs>
        <w:spacing w:after="0" w:line="360" w:lineRule="auto"/>
        <w:ind w:left="720" w:hanging="360"/>
        <w:rPr>
          <w:rFonts w:ascii="Titillium" w:cs="Titillium" w:eastAsia="Titillium" w:hAnsi="Titillium"/>
          <w:b w:val="1"/>
          <w:sz w:val="20"/>
          <w:szCs w:val="20"/>
          <w:highlight w:val="yellow"/>
        </w:rPr>
      </w:pPr>
      <w:r w:rsidDel="00000000" w:rsidR="00000000" w:rsidRPr="00000000">
        <w:rPr>
          <w:rFonts w:ascii="Titillium" w:cs="Titillium" w:eastAsia="Titillium" w:hAnsi="Titillium"/>
          <w:b w:val="1"/>
          <w:sz w:val="20"/>
          <w:szCs w:val="20"/>
          <w:highlight w:val="yellow"/>
          <w:rtl w:val="0"/>
        </w:rPr>
        <w:t xml:space="preserve">verifica diretta sul sito istituzionale, anche attraverso l’utilizzo di supporti informatici.</w:t>
      </w:r>
    </w:p>
    <w:p w:rsidR="00000000" w:rsidDel="00000000" w:rsidP="00000000" w:rsidRDefault="00000000" w:rsidRPr="00000000" w14:paraId="0000001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tillium" w:cs="Titillium" w:eastAsia="Titillium" w:hAnsi="Titillium"/>
          <w:b w:val="0"/>
          <w:i w:val="1"/>
          <w:smallCaps w:val="0"/>
          <w:strike w:val="0"/>
          <w:color w:val="000000"/>
          <w:sz w:val="18"/>
          <w:szCs w:val="18"/>
          <w:u w:val="none"/>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Indicare il procedimento e le modalità seguite per condurre la rilevazione. A titolo esemplificativo e non esaustivo, si indicano alcune modalità, non alternative fra loro, che potrebbero essere seguite:</w:t>
      </w:r>
    </w:p>
    <w:p w:rsidR="00000000" w:rsidDel="00000000" w:rsidP="00000000" w:rsidRDefault="00000000" w:rsidRPr="00000000" w14:paraId="0000001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0"/>
        </w:tabs>
        <w:spacing w:after="0" w:before="0" w:line="360" w:lineRule="auto"/>
        <w:ind w:left="720" w:right="0" w:hanging="360"/>
        <w:jc w:val="both"/>
        <w:rPr>
          <w:rFonts w:ascii="Titillium" w:cs="Titillium" w:eastAsia="Titillium" w:hAnsi="Titillium"/>
          <w:b w:val="0"/>
          <w:i w:val="1"/>
          <w:smallCaps w:val="0"/>
          <w:strike w:val="0"/>
          <w:color w:val="000000"/>
          <w:sz w:val="18"/>
          <w:szCs w:val="18"/>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verifica dell’attività svolta dal Responsabile della prevenzione della corruzione e della trasparenza per riscontrare l’adempimento degli obblighi di pubblicazione;</w:t>
      </w:r>
    </w:p>
    <w:p w:rsidR="00000000" w:rsidDel="00000000" w:rsidP="00000000" w:rsidRDefault="00000000" w:rsidRPr="00000000" w14:paraId="0000001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0"/>
        </w:tabs>
        <w:spacing w:after="0" w:before="0" w:line="360" w:lineRule="auto"/>
        <w:ind w:left="720" w:right="0" w:hanging="360"/>
        <w:jc w:val="both"/>
        <w:rPr>
          <w:rFonts w:ascii="Titillium" w:cs="Titillium" w:eastAsia="Titillium" w:hAnsi="Titillium"/>
          <w:b w:val="0"/>
          <w:i w:val="1"/>
          <w:smallCaps w:val="0"/>
          <w:strike w:val="0"/>
          <w:color w:val="000000"/>
          <w:sz w:val="18"/>
          <w:szCs w:val="18"/>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esame della documentazione e delle banche dati relative ai dati oggetto di attestazione;</w:t>
      </w:r>
    </w:p>
    <w:p w:rsidR="00000000" w:rsidDel="00000000" w:rsidP="00000000" w:rsidRDefault="00000000" w:rsidRPr="00000000" w14:paraId="0000001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0"/>
        </w:tabs>
        <w:spacing w:after="0" w:before="0" w:line="360" w:lineRule="auto"/>
        <w:ind w:left="720" w:right="0" w:hanging="360"/>
        <w:jc w:val="both"/>
        <w:rPr>
          <w:rFonts w:ascii="Titillium" w:cs="Titillium" w:eastAsia="Titillium" w:hAnsi="Titillium"/>
          <w:b w:val="0"/>
          <w:i w:val="1"/>
          <w:smallCaps w:val="0"/>
          <w:strike w:val="0"/>
          <w:color w:val="000000"/>
          <w:sz w:val="18"/>
          <w:szCs w:val="18"/>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colloqui con i responsabili della trasmissione dei dati;</w:t>
      </w:r>
    </w:p>
    <w:p w:rsidR="00000000" w:rsidDel="00000000" w:rsidP="00000000" w:rsidRDefault="00000000" w:rsidRPr="00000000" w14:paraId="0000001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0"/>
        </w:tabs>
        <w:spacing w:after="0" w:before="0" w:line="360" w:lineRule="auto"/>
        <w:ind w:left="720" w:right="0" w:hanging="360"/>
        <w:jc w:val="both"/>
        <w:rPr>
          <w:rFonts w:ascii="Titillium" w:cs="Titillium" w:eastAsia="Titillium" w:hAnsi="Titillium"/>
          <w:b w:val="0"/>
          <w:i w:val="1"/>
          <w:smallCaps w:val="0"/>
          <w:strike w:val="0"/>
          <w:color w:val="000000"/>
          <w:sz w:val="18"/>
          <w:szCs w:val="18"/>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colloqui con i responsabili della pubblicazione dei dati;</w:t>
      </w:r>
    </w:p>
    <w:p w:rsidR="00000000" w:rsidDel="00000000" w:rsidP="00000000" w:rsidRDefault="00000000" w:rsidRPr="00000000" w14:paraId="0000001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0"/>
        </w:tabs>
        <w:spacing w:after="0" w:before="0" w:line="360" w:lineRule="auto"/>
        <w:ind w:left="720" w:right="0" w:hanging="360"/>
        <w:jc w:val="both"/>
        <w:rPr>
          <w:rFonts w:ascii="Titillium" w:cs="Titillium" w:eastAsia="Titillium" w:hAnsi="Titillium"/>
          <w:b w:val="0"/>
          <w:i w:val="1"/>
          <w:smallCaps w:val="0"/>
          <w:strike w:val="0"/>
          <w:color w:val="000000"/>
          <w:sz w:val="18"/>
          <w:szCs w:val="18"/>
          <w:shd w:fill="auto" w:val="clear"/>
          <w:vertAlign w:val="baseline"/>
        </w:rPr>
      </w:pPr>
      <w:r w:rsidDel="00000000" w:rsidR="00000000" w:rsidRPr="00000000">
        <w:rPr>
          <w:rFonts w:ascii="Titillium" w:cs="Titillium" w:eastAsia="Titillium" w:hAnsi="Titillium"/>
          <w:b w:val="0"/>
          <w:i w:val="1"/>
          <w:smallCaps w:val="0"/>
          <w:strike w:val="0"/>
          <w:color w:val="000000"/>
          <w:sz w:val="18"/>
          <w:szCs w:val="18"/>
          <w:u w:val="none"/>
          <w:shd w:fill="auto" w:val="clear"/>
          <w:vertAlign w:val="baseline"/>
          <w:rtl w:val="0"/>
        </w:rPr>
        <w:t xml:space="preserve">verifica diretta sul sito istituzionale, anche attraverso l’utilizzo di supporti informatici.</w:t>
      </w:r>
    </w:p>
    <w:p w:rsidR="00000000" w:rsidDel="00000000" w:rsidP="00000000" w:rsidRDefault="00000000" w:rsidRPr="00000000" w14:paraId="0000001A">
      <w:pPr>
        <w:spacing w:line="360" w:lineRule="auto"/>
        <w:rPr>
          <w:rFonts w:ascii="Titillium" w:cs="Titillium" w:eastAsia="Titillium" w:hAnsi="Titillium"/>
          <w:sz w:val="20"/>
          <w:szCs w:val="20"/>
          <w:u w:val="single"/>
        </w:rPr>
      </w:pPr>
      <w:r w:rsidDel="00000000" w:rsidR="00000000" w:rsidRPr="00000000">
        <w:rPr>
          <w:rtl w:val="0"/>
        </w:rPr>
      </w:r>
    </w:p>
    <w:p w:rsidR="00000000" w:rsidDel="00000000" w:rsidP="00000000" w:rsidRDefault="00000000" w:rsidRPr="00000000" w14:paraId="0000001B">
      <w:pPr>
        <w:spacing w:line="360" w:lineRule="auto"/>
        <w:rPr>
          <w:rFonts w:ascii="Titillium" w:cs="Titillium" w:eastAsia="Titillium" w:hAnsi="Titillium"/>
          <w:i w:val="1"/>
          <w:sz w:val="20"/>
          <w:szCs w:val="20"/>
          <w:highlight w:val="white"/>
          <w:u w:val="single"/>
        </w:rPr>
      </w:pPr>
      <w:r w:rsidDel="00000000" w:rsidR="00000000" w:rsidRPr="00000000">
        <w:rPr>
          <w:rFonts w:ascii="Titillium" w:cs="Titillium" w:eastAsia="Titillium" w:hAnsi="Titillium"/>
          <w:b w:val="1"/>
          <w:i w:val="1"/>
          <w:sz w:val="20"/>
          <w:szCs w:val="20"/>
          <w:rtl w:val="0"/>
        </w:rPr>
        <w:t xml:space="preserve">Aspetti critici riscontrati nel corso della rilevazione - </w:t>
      </w:r>
      <w:r w:rsidDel="00000000" w:rsidR="00000000" w:rsidRPr="00000000">
        <w:rPr>
          <w:rFonts w:ascii="Titillium" w:cs="Titillium" w:eastAsia="Titillium" w:hAnsi="Titillium"/>
          <w:i w:val="1"/>
          <w:sz w:val="20"/>
          <w:szCs w:val="20"/>
          <w:highlight w:val="white"/>
          <w:rtl w:val="0"/>
        </w:rPr>
        <w:t xml:space="preserve">Deve essere migliorata l’organizzazione interna relativa alla pubblicazione dei dati, con particolare attenzione al rispetto della tempestività delle pubblicazioni (come specificato nella griglia allegata al PTPTC), alla completezza dei dati ed alla chiarezza degli stessi</w:t>
      </w:r>
      <w:r w:rsidDel="00000000" w:rsidR="00000000" w:rsidRPr="00000000">
        <w:rPr>
          <w:rFonts w:ascii="Titillium" w:cs="Titillium" w:eastAsia="Titillium" w:hAnsi="Titillium"/>
          <w:i w:val="1"/>
          <w:sz w:val="20"/>
          <w:szCs w:val="20"/>
          <w:highlight w:val="white"/>
          <w:u w:val="single"/>
          <w:rtl w:val="0"/>
        </w:rPr>
        <w:t xml:space="preserve">.</w:t>
      </w:r>
    </w:p>
    <w:p w:rsidR="00000000" w:rsidDel="00000000" w:rsidP="00000000" w:rsidRDefault="00000000" w:rsidRPr="00000000" w14:paraId="0000001C">
      <w:pPr>
        <w:spacing w:after="0" w:before="120" w:lineRule="auto"/>
        <w:jc w:val="left"/>
        <w:rPr>
          <w:b w:val="1"/>
          <w:sz w:val="20"/>
          <w:szCs w:val="20"/>
          <w:u w:val="single"/>
        </w:rPr>
      </w:pPr>
      <w:r w:rsidDel="00000000" w:rsidR="00000000" w:rsidRPr="00000000">
        <w:rPr>
          <w:b w:val="1"/>
          <w:sz w:val="20"/>
          <w:szCs w:val="20"/>
          <w:u w:val="single"/>
          <w:rtl w:val="0"/>
        </w:rPr>
        <w:t xml:space="preserve">Data 30.05.2022.</w:t>
      </w:r>
    </w:p>
    <w:p w:rsidR="00000000" w:rsidDel="00000000" w:rsidP="00000000" w:rsidRDefault="00000000" w:rsidRPr="00000000" w14:paraId="0000001D">
      <w:pPr>
        <w:spacing w:after="0" w:before="120" w:lineRule="auto"/>
        <w:jc w:val="right"/>
        <w:rPr>
          <w:b w:val="1"/>
          <w:sz w:val="20"/>
          <w:szCs w:val="20"/>
        </w:rPr>
      </w:pPr>
      <w:r w:rsidDel="00000000" w:rsidR="00000000" w:rsidRPr="00000000">
        <w:rPr>
          <w:b w:val="1"/>
          <w:sz w:val="20"/>
          <w:szCs w:val="20"/>
          <w:rtl w:val="0"/>
        </w:rPr>
        <w:t xml:space="preserve">Firma dei componenti OIV</w:t>
      </w:r>
    </w:p>
    <w:p w:rsidR="00000000" w:rsidDel="00000000" w:rsidP="00000000" w:rsidRDefault="00000000" w:rsidRPr="00000000" w14:paraId="0000001E">
      <w:pPr>
        <w:spacing w:after="0" w:before="120" w:lineRule="auto"/>
        <w:jc w:val="right"/>
        <w:rPr>
          <w:rFonts w:ascii="Titillium" w:cs="Titillium" w:eastAsia="Titillium" w:hAnsi="Titillium"/>
          <w:b w:val="1"/>
          <w:i w:val="1"/>
          <w:sz w:val="20"/>
          <w:szCs w:val="20"/>
        </w:rPr>
      </w:pPr>
      <w:r w:rsidDel="00000000" w:rsidR="00000000" w:rsidRPr="00000000">
        <w:rPr>
          <w:b w:val="1"/>
          <w:sz w:val="20"/>
          <w:szCs w:val="20"/>
          <w:rtl w:val="0"/>
        </w:rPr>
        <w:t xml:space="preserve">(dott.ssa Francesca Cavallucci) -firmato digitalmente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08" w:top="1417" w:left="1134" w:right="1134"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itillium"/>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righ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-271779</wp:posOffset>
          </wp:positionH>
          <wp:positionV relativeFrom="topMargin">
            <wp:posOffset>453390</wp:posOffset>
          </wp:positionV>
          <wp:extent cx="2879725" cy="34163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79725" cy="341630"/>
                  </a:xfrm>
                  <a:prstGeom prst="rect"/>
                  <a:ln/>
                </pic:spPr>
              </pic:pic>
            </a:graphicData>
          </a:graphic>
        </wp:anchor>
      </w:drawing>
    </w:r>
    <w:r w:rsidDel="00000000" w:rsidR="00000000" w:rsidRPr="00000000">
      <w:rPr>
        <w:rtl w:val="0"/>
      </w:rPr>
    </w:r>
  </w:p>
  <w:p w:rsidR="00000000" w:rsidDel="00000000" w:rsidP="00000000" w:rsidRDefault="00000000" w:rsidRPr="00000000" w14:paraId="00000020">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righ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 w:val="left" w:pos="3878"/>
      </w:tabs>
      <w:spacing w:after="0" w:before="0" w:line="276"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22">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right"/>
      <w:rPr>
        <w:rFonts w:ascii="Titillium" w:cs="Titillium" w:eastAsia="Titillium" w:hAnsi="Titillium"/>
        <w:b w:val="1"/>
        <w:i w:val="0"/>
        <w:smallCaps w:val="0"/>
        <w:strike w:val="0"/>
        <w:color w:val="000000"/>
        <w:sz w:val="20"/>
        <w:szCs w:val="20"/>
        <w:u w:val="none"/>
        <w:shd w:fill="auto" w:val="clear"/>
        <w:vertAlign w:val="baseline"/>
      </w:rPr>
    </w:pPr>
    <w:bookmarkStart w:colFirst="0" w:colLast="0" w:name="_heading=h.gjdgxs" w:id="2"/>
    <w:bookmarkEnd w:id="2"/>
    <w:r w:rsidDel="00000000" w:rsidR="00000000" w:rsidRPr="00000000">
      <w:rPr>
        <w:rFonts w:ascii="Titillium" w:cs="Titillium" w:eastAsia="Titillium" w:hAnsi="Titillium"/>
        <w:b w:val="1"/>
        <w:i w:val="0"/>
        <w:smallCaps w:val="0"/>
        <w:strike w:val="0"/>
        <w:color w:val="000000"/>
        <w:sz w:val="20"/>
        <w:szCs w:val="20"/>
        <w:u w:val="none"/>
        <w:shd w:fill="auto" w:val="clear"/>
        <w:vertAlign w:val="baseline"/>
        <w:rtl w:val="0"/>
      </w:rPr>
      <w:t xml:space="preserve">Allegato 3 alla delibera ANAC n. 201/2022</w:t>
    </w:r>
  </w:p>
  <w:p w:rsidR="00000000" w:rsidDel="00000000" w:rsidP="00000000" w:rsidRDefault="00000000" w:rsidRPr="00000000" w14:paraId="00000023">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righ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righ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3">
    <w:lvl w:ilvl="0">
      <w:start w:val="1"/>
      <w:numFmt w:val="bullet"/>
      <w:lvlText w:val="-"/>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keepNext w:val="1"/>
        <w:widowControl w:val="0"/>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240" w:lineRule="auto"/>
      <w:ind w:left="432" w:hanging="432"/>
      <w:jc w:val="center"/>
    </w:pPr>
    <w:rPr>
      <w:b w:val="1"/>
      <w:i w:val="1"/>
      <w:sz w:val="36"/>
      <w:szCs w:val="36"/>
    </w:rPr>
  </w:style>
  <w:style w:type="paragraph" w:styleId="Normale" w:default="1">
    <w:name w:val="Normal"/>
    <w:pPr>
      <w:keepNext w:val="1"/>
      <w:widowControl w:val="0"/>
      <w:pBdr>
        <w:top w:space="0" w:sz="0" w:val="nil"/>
        <w:left w:space="0" w:sz="0" w:val="nil"/>
        <w:bottom w:space="0" w:sz="0" w:val="nil"/>
        <w:right w:space="0" w:sz="0" w:val="nil"/>
      </w:pBdr>
      <w:suppressAutoHyphens w:val="1"/>
      <w:spacing w:after="120" w:line="100" w:lineRule="atLeast"/>
      <w:jc w:val="both"/>
    </w:pPr>
    <w:rPr>
      <w:rFonts w:ascii="Times New Roman" w:cs="Cambria" w:eastAsia="Times New Roman" w:hAnsi="Times New Roman"/>
      <w:sz w:val="24"/>
      <w:szCs w:val="24"/>
      <w:lang w:eastAsia="ar-SA"/>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Rimandonotaapidipagina">
    <w:name w:val="footnote reference"/>
    <w:basedOn w:val="Carpredefinitoparagrafo"/>
    <w:rPr>
      <w:position w:val="22"/>
      <w:sz w:val="14"/>
    </w:rPr>
  </w:style>
  <w:style w:type="character" w:styleId="TestonotaapidipaginaCarattere" w:customStyle="1">
    <w:name w:val="Testo nota a piè di pagina Carattere"/>
    <w:basedOn w:val="Carpredefinitoparagrafo"/>
    <w:rPr>
      <w:rFonts w:ascii="Times New Roman" w:cs="Cambria" w:eastAsia="Times New Roman" w:hAnsi="Times New Roman"/>
      <w:sz w:val="20"/>
      <w:szCs w:val="20"/>
      <w:lang w:eastAsia="ar-SA"/>
    </w:rPr>
  </w:style>
  <w:style w:type="character" w:styleId="TestonotaapidipaginaCarattere1" w:customStyle="1">
    <w:name w:val="Testo nota a piè di pagina Carattere1"/>
    <w:basedOn w:val="Carpredefinitoparagrafo"/>
    <w:rPr>
      <w:rFonts w:ascii="Times New Roman" w:cs="Cambria" w:eastAsia="Times New Roman" w:hAnsi="Times New Roman"/>
      <w:sz w:val="24"/>
      <w:szCs w:val="24"/>
      <w:lang w:eastAsia="ar-SA"/>
    </w:rPr>
  </w:style>
  <w:style w:type="character" w:styleId="TitoloCarattere" w:customStyle="1">
    <w:name w:val="Titolo Carattere"/>
    <w:basedOn w:val="Carpredefinitoparagrafo"/>
    <w:rPr>
      <w:rFonts w:ascii="Times New Roman" w:cs="Times New Roman" w:eastAsia="Times New Roman" w:hAnsi="Times New Roman"/>
      <w:b w:val="1"/>
      <w:bCs w:val="1"/>
      <w:i w:val="1"/>
      <w:sz w:val="36"/>
      <w:szCs w:val="32"/>
      <w:lang w:eastAsia="ar-SA"/>
    </w:rPr>
  </w:style>
  <w:style w:type="character" w:styleId="IntestazioneCarattere" w:customStyle="1">
    <w:name w:val="Intestazione Carattere"/>
    <w:basedOn w:val="Carpredefinitoparagrafo"/>
    <w:rPr>
      <w:rFonts w:ascii="Times New Roman" w:cs="Cambria" w:eastAsia="Times New Roman" w:hAnsi="Times New Roman"/>
      <w:sz w:val="24"/>
      <w:szCs w:val="24"/>
      <w:lang w:eastAsia="ar-SA"/>
    </w:rPr>
  </w:style>
  <w:style w:type="character" w:styleId="PidipaginaCarattere" w:customStyle="1">
    <w:name w:val="Piè di pagina Carattere"/>
    <w:basedOn w:val="Carpredefinitoparagrafo"/>
    <w:rPr>
      <w:rFonts w:ascii="Times New Roman" w:cs="Cambria" w:eastAsia="Times New Roman" w:hAnsi="Times New Roman"/>
      <w:sz w:val="24"/>
      <w:szCs w:val="24"/>
      <w:lang w:eastAsia="ar-SA"/>
    </w:rPr>
  </w:style>
  <w:style w:type="character" w:styleId="Rimandocommento">
    <w:name w:val="annotation reference"/>
    <w:basedOn w:val="Carpredefinitoparagrafo"/>
    <w:rPr>
      <w:sz w:val="16"/>
      <w:szCs w:val="16"/>
    </w:rPr>
  </w:style>
  <w:style w:type="character" w:styleId="TestocommentoCarattere" w:customStyle="1">
    <w:name w:val="Testo commento Carattere"/>
    <w:basedOn w:val="Carpredefinitoparagrafo"/>
    <w:rPr>
      <w:rFonts w:ascii="Times New Roman" w:cs="Cambria" w:eastAsia="Times New Roman" w:hAnsi="Times New Roman"/>
      <w:sz w:val="20"/>
      <w:szCs w:val="20"/>
      <w:lang w:eastAsia="ar-SA"/>
    </w:rPr>
  </w:style>
  <w:style w:type="character" w:styleId="SoggettocommentoCarattere" w:customStyle="1">
    <w:name w:val="Soggetto commento Carattere"/>
    <w:basedOn w:val="TestocommentoCarattere"/>
    <w:rPr>
      <w:rFonts w:ascii="Times New Roman" w:cs="Cambria" w:eastAsia="Times New Roman" w:hAnsi="Times New Roman"/>
      <w:b w:val="1"/>
      <w:bCs w:val="1"/>
      <w:sz w:val="20"/>
      <w:szCs w:val="20"/>
      <w:lang w:eastAsia="ar-SA"/>
    </w:rPr>
  </w:style>
  <w:style w:type="character" w:styleId="TestofumettoCarattere" w:customStyle="1">
    <w:name w:val="Testo fumetto Carattere"/>
    <w:basedOn w:val="Carpredefinitoparagrafo"/>
    <w:rPr>
      <w:rFonts w:ascii="Tahoma" w:cs="Tahoma" w:eastAsia="Times New Roman" w:hAnsi="Tahoma"/>
      <w:sz w:val="16"/>
      <w:szCs w:val="16"/>
      <w:lang w:eastAsia="ar-SA"/>
    </w:rPr>
  </w:style>
  <w:style w:type="character" w:styleId="WWCharLFO13LVL1" w:customStyle="1">
    <w:name w:val="WW_CharLFO13LVL1"/>
    <w:rPr>
      <w:rFonts w:ascii="Times New Roman" w:cs="Times New Roman" w:eastAsia="Times New Roman" w:hAnsi="Times New Roman"/>
    </w:rPr>
  </w:style>
  <w:style w:type="character" w:styleId="WWCharLFO13LVL2" w:customStyle="1">
    <w:name w:val="WW_CharLFO13LVL2"/>
    <w:rPr>
      <w:rFonts w:ascii="Courier New" w:cs="Courier New" w:hAnsi="Courier New"/>
    </w:rPr>
  </w:style>
  <w:style w:type="character" w:styleId="WWCharLFO13LVL3" w:customStyle="1">
    <w:name w:val="WW_CharLFO13LVL3"/>
    <w:rPr>
      <w:rFonts w:ascii="Wingdings" w:hAnsi="Wingdings"/>
    </w:rPr>
  </w:style>
  <w:style w:type="character" w:styleId="WWCharLFO13LVL4" w:customStyle="1">
    <w:name w:val="WW_CharLFO13LVL4"/>
    <w:rPr>
      <w:rFonts w:ascii="Symbol" w:hAnsi="Symbol"/>
    </w:rPr>
  </w:style>
  <w:style w:type="character" w:styleId="WWCharLFO13LVL5" w:customStyle="1">
    <w:name w:val="WW_CharLFO13LVL5"/>
    <w:rPr>
      <w:rFonts w:ascii="Courier New" w:cs="Courier New" w:hAnsi="Courier New"/>
    </w:rPr>
  </w:style>
  <w:style w:type="character" w:styleId="WWCharLFO13LVL6" w:customStyle="1">
    <w:name w:val="WW_CharLFO13LVL6"/>
    <w:rPr>
      <w:rFonts w:ascii="Wingdings" w:hAnsi="Wingdings"/>
    </w:rPr>
  </w:style>
  <w:style w:type="character" w:styleId="WWCharLFO13LVL7" w:customStyle="1">
    <w:name w:val="WW_CharLFO13LVL7"/>
    <w:rPr>
      <w:rFonts w:ascii="Symbol" w:hAnsi="Symbol"/>
    </w:rPr>
  </w:style>
  <w:style w:type="character" w:styleId="WWCharLFO13LVL8" w:customStyle="1">
    <w:name w:val="WW_CharLFO13LVL8"/>
    <w:rPr>
      <w:rFonts w:ascii="Courier New" w:cs="Courier New" w:hAnsi="Courier New"/>
    </w:rPr>
  </w:style>
  <w:style w:type="character" w:styleId="WWCharLFO13LVL9" w:customStyle="1">
    <w:name w:val="WW_CharLFO13LVL9"/>
    <w:rPr>
      <w:rFonts w:ascii="Wingdings" w:hAnsi="Wingdings"/>
    </w:rPr>
  </w:style>
  <w:style w:type="character" w:styleId="WWCharLFO15LVL1" w:customStyle="1">
    <w:name w:val="WW_CharLFO15LVL1"/>
    <w:rPr>
      <w:rFonts w:ascii="Times New Roman" w:cs="Times New Roman" w:eastAsia="Calibri" w:hAnsi="Times New Roman"/>
      <w:sz w:val="20"/>
    </w:rPr>
  </w:style>
  <w:style w:type="character" w:styleId="WWCharLFO15LVL2" w:customStyle="1">
    <w:name w:val="WW_CharLFO15LVL2"/>
    <w:rPr>
      <w:rFonts w:ascii="Courier New" w:cs="Courier New" w:hAnsi="Courier New"/>
    </w:rPr>
  </w:style>
  <w:style w:type="character" w:styleId="WWCharLFO15LVL3" w:customStyle="1">
    <w:name w:val="WW_CharLFO15LVL3"/>
    <w:rPr>
      <w:rFonts w:ascii="Wingdings" w:hAnsi="Wingdings"/>
    </w:rPr>
  </w:style>
  <w:style w:type="character" w:styleId="WWCharLFO15LVL4" w:customStyle="1">
    <w:name w:val="WW_CharLFO15LVL4"/>
    <w:rPr>
      <w:rFonts w:ascii="Symbol" w:hAnsi="Symbol"/>
    </w:rPr>
  </w:style>
  <w:style w:type="character" w:styleId="WWCharLFO15LVL5" w:customStyle="1">
    <w:name w:val="WW_CharLFO15LVL5"/>
    <w:rPr>
      <w:rFonts w:ascii="Courier New" w:cs="Courier New" w:hAnsi="Courier New"/>
    </w:rPr>
  </w:style>
  <w:style w:type="character" w:styleId="WWCharLFO15LVL6" w:customStyle="1">
    <w:name w:val="WW_CharLFO15LVL6"/>
    <w:rPr>
      <w:rFonts w:ascii="Wingdings" w:hAnsi="Wingdings"/>
    </w:rPr>
  </w:style>
  <w:style w:type="character" w:styleId="WWCharLFO15LVL7" w:customStyle="1">
    <w:name w:val="WW_CharLFO15LVL7"/>
    <w:rPr>
      <w:rFonts w:ascii="Symbol" w:hAnsi="Symbol"/>
    </w:rPr>
  </w:style>
  <w:style w:type="character" w:styleId="WWCharLFO15LVL8" w:customStyle="1">
    <w:name w:val="WW_CharLFO15LVL8"/>
    <w:rPr>
      <w:rFonts w:ascii="Courier New" w:cs="Courier New" w:hAnsi="Courier New"/>
    </w:rPr>
  </w:style>
  <w:style w:type="character" w:styleId="WWCharLFO15LVL9" w:customStyle="1">
    <w:name w:val="WW_CharLFO15LVL9"/>
    <w:rPr>
      <w:rFonts w:ascii="Wingdings" w:hAnsi="Wingdings"/>
    </w:rPr>
  </w:style>
  <w:style w:type="character" w:styleId="Caratteredellanota" w:customStyle="1">
    <w:name w:val="Carattere della nota"/>
  </w:style>
  <w:style w:type="paragraph" w:styleId="Testonotaapidipagina">
    <w:name w:val="footnote text"/>
    <w:basedOn w:val="Normale"/>
  </w:style>
  <w:style w:type="paragraph" w:styleId="Paragrafoelenco">
    <w:name w:val="List Paragraph"/>
    <w:basedOn w:val="Normale"/>
    <w:pPr>
      <w:ind w:left="357" w:hanging="357"/>
    </w:pPr>
  </w:style>
  <w:style w:type="paragraph" w:styleId="Titolo">
    <w:name w:val="Title"/>
    <w:basedOn w:val="Normale"/>
    <w:next w:val="Normale"/>
    <w:autoRedefine w:val="1"/>
    <w:pPr>
      <w:numPr>
        <w:numId w:val="1"/>
      </w:numPr>
      <w:spacing w:after="240" w:before="240"/>
      <w:jc w:val="center"/>
      <w:outlineLvl w:val="0"/>
    </w:pPr>
    <w:rPr>
      <w:rFonts w:cs="Times New Roman"/>
      <w:b w:val="1"/>
      <w:bCs w:val="1"/>
      <w:i w:val="1"/>
      <w:sz w:val="36"/>
      <w:szCs w:val="32"/>
    </w:rPr>
  </w:style>
  <w:style w:type="paragraph" w:styleId="Corpodeltesto" w:customStyle="1">
    <w:name w:val="Corpo del testo"/>
    <w:basedOn w:val="Normale"/>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styleId="Default" w:customStyle="1">
    <w:name w:val="Default"/>
    <w:pPr>
      <w:keepNext w:val="1"/>
      <w:pBdr>
        <w:top w:space="0" w:sz="0" w:val="nil"/>
        <w:left w:space="0" w:sz="0" w:val="nil"/>
        <w:bottom w:space="0" w:sz="0" w:val="nil"/>
        <w:right w:space="0" w:sz="0" w:val="nil"/>
      </w:pBdr>
      <w:suppressAutoHyphens w:val="1"/>
      <w:autoSpaceDE w:val="0"/>
      <w:spacing w:after="0" w:line="100" w:lineRule="atLeast"/>
    </w:pPr>
    <w:rPr>
      <w:rFonts w:ascii="Times New Roman" w:cs="Times New Roman" w:eastAsia="Calibri" w:hAnsi="Times New Roman"/>
      <w:color w:val="000000"/>
      <w:sz w:val="24"/>
      <w:szCs w:val="24"/>
      <w:lang w:eastAsia="en-US"/>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val="1"/>
      <w:bCs w:val="1"/>
    </w:rPr>
  </w:style>
  <w:style w:type="paragraph" w:styleId="Testofumetto">
    <w:name w:val="Balloon Text"/>
    <w:basedOn w:val="Normale"/>
    <w:pPr>
      <w:spacing w:after="0"/>
    </w:pPr>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tLUmKSKKvvZNRk7RjJeqFhISvg==">AMUW2mX/i0Fji9l87RCXB03SiKffGqmgYBYT7xKYoixUjNGND7cuPA8ord3JKIAynFVqbv2bX5n2R94iKFd03axY8kh6idb9Q45TAVNcTemBWbZBTBV0tR3+KIziOpTpA7HqVWeSXBH8XYvwjczQyUHz4qYZkf8v8U5B+/J6oHmvDnxhMNrjRoA=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2013-12-19T15:41:00Z</dcterms:created>
  <dc:creator>i.siciliani</dc:creator>
</cp:coreProperties>
</file>